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605"/>
        <w:gridCol w:w="1096"/>
        <w:gridCol w:w="1096"/>
        <w:gridCol w:w="1098"/>
      </w:tblGrid>
      <w:tr w:rsidR="00C613CF" w:rsidRPr="00C77682" w:rsidTr="00A41E9A">
        <w:trPr>
          <w:trHeight w:val="300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613CF" w:rsidRDefault="00C613CF" w:rsidP="00A41E9A">
            <w:pPr>
              <w:pStyle w:val="Caption"/>
              <w:rPr>
                <w:i/>
                <w:sz w:val="22"/>
                <w:szCs w:val="22"/>
              </w:rPr>
            </w:pPr>
            <w:bookmarkStart w:id="0" w:name="_Ref285574578"/>
            <w:bookmarkStart w:id="1" w:name="_GoBack"/>
            <w:bookmarkEnd w:id="1"/>
            <w:r w:rsidRPr="00C613CF">
              <w:rPr>
                <w:sz w:val="22"/>
                <w:szCs w:val="22"/>
              </w:rPr>
              <w:t>Worksheet 2: Summary of Groundwater-related Feasibility Criteria</w:t>
            </w:r>
            <w:bookmarkEnd w:id="0"/>
          </w:p>
        </w:tc>
      </w:tr>
      <w:tr w:rsidR="00C613CF" w:rsidRPr="00C77682" w:rsidTr="00A41E9A">
        <w:trPr>
          <w:trHeight w:val="330"/>
        </w:trPr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7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7" w:type="pct"/>
            <w:tcBorders>
              <w:top w:val="single" w:sz="4" w:space="0" w:color="auto"/>
            </w:tcBorders>
            <w:shd w:val="clear" w:color="auto" w:fill="auto"/>
            <w:tcMar>
              <w:top w:w="36" w:type="dxa"/>
              <w:bottom w:w="36" w:type="dxa"/>
            </w:tcMar>
            <w:vAlign w:val="bottom"/>
            <w:hideMark/>
          </w:tcPr>
          <w:p w:rsidR="00C613CF" w:rsidRDefault="00C613CF" w:rsidP="00A41E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682">
              <w:rPr>
                <w:rFonts w:ascii="Arial" w:hAnsi="Arial" w:cs="Arial"/>
                <w:sz w:val="20"/>
                <w:szCs w:val="20"/>
              </w:rPr>
              <w:t>Is project large or small? (</w:t>
            </w:r>
            <w:r>
              <w:rPr>
                <w:rFonts w:ascii="Arial" w:hAnsi="Arial" w:cs="Arial"/>
                <w:sz w:val="20"/>
                <w:szCs w:val="20"/>
              </w:rPr>
              <w:t>as defined b</w:t>
            </w:r>
            <w:r w:rsidR="00A7659F">
              <w:rPr>
                <w:rFonts w:ascii="Arial" w:hAnsi="Arial" w:cs="Arial"/>
                <w:sz w:val="20"/>
                <w:szCs w:val="20"/>
              </w:rPr>
              <w:t>y Table C-2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C613CF" w:rsidRPr="00C77682" w:rsidRDefault="00C613CF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circle one</w:t>
            </w:r>
          </w:p>
        </w:tc>
        <w:tc>
          <w:tcPr>
            <w:tcW w:w="1759" w:type="pct"/>
            <w:gridSpan w:val="3"/>
            <w:tcBorders>
              <w:top w:val="single" w:sz="4" w:space="0" w:color="auto"/>
            </w:tcBorders>
            <w:tcMar>
              <w:top w:w="36" w:type="dxa"/>
              <w:bottom w:w="36" w:type="dxa"/>
            </w:tcMar>
            <w:vAlign w:val="center"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Large                  Small</w:t>
            </w:r>
          </w:p>
        </w:tc>
      </w:tr>
      <w:tr w:rsidR="00C613CF" w:rsidRPr="00C77682" w:rsidTr="00A41E9A">
        <w:trPr>
          <w:trHeight w:val="330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76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7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is the tributary area to the BMP?</w:t>
            </w:r>
          </w:p>
        </w:tc>
        <w:tc>
          <w:tcPr>
            <w:tcW w:w="586" w:type="pct"/>
            <w:tcMar>
              <w:top w:w="36" w:type="dxa"/>
              <w:bottom w:w="36" w:type="dxa"/>
            </w:tcMar>
            <w:vAlign w:val="center"/>
          </w:tcPr>
          <w:p w:rsidR="00C613CF" w:rsidRPr="00C77682" w:rsidRDefault="00C613CF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586" w:type="pct"/>
            <w:tcMar>
              <w:top w:w="36" w:type="dxa"/>
              <w:bottom w:w="36" w:type="dxa"/>
            </w:tcMar>
            <w:vAlign w:val="center"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pct"/>
            <w:tcMar>
              <w:top w:w="36" w:type="dxa"/>
              <w:bottom w:w="36" w:type="dxa"/>
            </w:tcMar>
            <w:vAlign w:val="center"/>
          </w:tcPr>
          <w:p w:rsidR="00C613CF" w:rsidRPr="00C77682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acres</w:t>
            </w:r>
          </w:p>
        </w:tc>
      </w:tr>
      <w:tr w:rsidR="00C613CF" w:rsidRPr="00C77682" w:rsidTr="00A41E9A">
        <w:trPr>
          <w:trHeight w:val="530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7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C613CF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type of BMP is proposed?</w:t>
            </w:r>
          </w:p>
        </w:tc>
        <w:tc>
          <w:tcPr>
            <w:tcW w:w="1759" w:type="pct"/>
            <w:gridSpan w:val="3"/>
            <w:tcMar>
              <w:top w:w="36" w:type="dxa"/>
              <w:bottom w:w="36" w:type="dxa"/>
            </w:tcMar>
            <w:vAlign w:val="center"/>
          </w:tcPr>
          <w:p w:rsidR="00C613CF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3CF" w:rsidRPr="00C77682" w:rsidTr="00A41E9A">
        <w:trPr>
          <w:trHeight w:val="530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7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C613CF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is the infiltrating surface area of the proposed BMP?</w:t>
            </w:r>
          </w:p>
        </w:tc>
        <w:tc>
          <w:tcPr>
            <w:tcW w:w="586" w:type="pct"/>
            <w:tcMar>
              <w:top w:w="36" w:type="dxa"/>
              <w:bottom w:w="36" w:type="dxa"/>
            </w:tcMar>
            <w:vAlign w:val="center"/>
          </w:tcPr>
          <w:p w:rsidR="00C613CF" w:rsidRDefault="00C613CF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7768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</w:t>
            </w:r>
          </w:p>
        </w:tc>
        <w:tc>
          <w:tcPr>
            <w:tcW w:w="586" w:type="pct"/>
            <w:vAlign w:val="center"/>
          </w:tcPr>
          <w:p w:rsidR="00C613CF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C613CF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sq-ft</w:t>
            </w:r>
            <w:proofErr w:type="spellEnd"/>
          </w:p>
        </w:tc>
      </w:tr>
      <w:tr w:rsidR="00C613CF" w:rsidRPr="00C77682" w:rsidTr="00A41E9A">
        <w:trPr>
          <w:trHeight w:val="1646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6" w:type="pct"/>
            <w:gridSpan w:val="4"/>
            <w:shd w:val="clear" w:color="auto" w:fill="auto"/>
            <w:tcMar>
              <w:top w:w="36" w:type="dxa"/>
              <w:bottom w:w="36" w:type="dxa"/>
            </w:tcMar>
            <w:hideMark/>
          </w:tcPr>
          <w:p w:rsidR="00C613CF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land use activities are present in the tributary area (list all)</w:t>
            </w:r>
          </w:p>
        </w:tc>
      </w:tr>
      <w:tr w:rsidR="00C613CF" w:rsidRPr="00C77682" w:rsidTr="00A41E9A">
        <w:trPr>
          <w:trHeight w:val="330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7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C613CF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land use-based risk category is applicable?</w:t>
            </w:r>
          </w:p>
        </w:tc>
        <w:tc>
          <w:tcPr>
            <w:tcW w:w="586" w:type="pct"/>
            <w:tcMar>
              <w:top w:w="36" w:type="dxa"/>
              <w:bottom w:w="36" w:type="dxa"/>
            </w:tcMar>
            <w:vAlign w:val="center"/>
          </w:tcPr>
          <w:p w:rsidR="00C613CF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586" w:type="pct"/>
            <w:vAlign w:val="center"/>
          </w:tcPr>
          <w:p w:rsidR="00C613CF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587" w:type="pct"/>
            <w:vAlign w:val="center"/>
          </w:tcPr>
          <w:p w:rsidR="00C613CF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</w:tr>
      <w:tr w:rsidR="00C613CF" w:rsidRPr="00C77682" w:rsidTr="00A41E9A">
        <w:trPr>
          <w:trHeight w:val="1754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56" w:type="pct"/>
            <w:gridSpan w:val="4"/>
            <w:shd w:val="clear" w:color="auto" w:fill="auto"/>
            <w:tcMar>
              <w:top w:w="36" w:type="dxa"/>
              <w:bottom w:w="36" w:type="dxa"/>
            </w:tcMar>
            <w:hideMark/>
          </w:tcPr>
          <w:p w:rsidR="00C613CF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M or H, what pretreatment and source isolation BMPs have been considered and are proposed (describe all):</w:t>
            </w:r>
          </w:p>
        </w:tc>
      </w:tr>
      <w:tr w:rsidR="00C613CF" w:rsidRPr="00C77682" w:rsidTr="00A41E9A">
        <w:trPr>
          <w:trHeight w:val="330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7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C613CF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minimum separation to mounded seasonally high groundwater applies to the proposed BMP?</w:t>
            </w:r>
          </w:p>
          <w:p w:rsidR="00C613CF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</w:t>
            </w:r>
            <w:r w:rsidR="00A7659F">
              <w:rPr>
                <w:rFonts w:ascii="Arial" w:eastAsia="Times New Roman" w:hAnsi="Arial" w:cs="Arial"/>
                <w:sz w:val="20"/>
                <w:szCs w:val="20"/>
              </w:rPr>
              <w:t>e Appendix C.2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(circle one)</w:t>
            </w:r>
          </w:p>
        </w:tc>
        <w:tc>
          <w:tcPr>
            <w:tcW w:w="1759" w:type="pct"/>
            <w:gridSpan w:val="3"/>
            <w:tcMar>
              <w:top w:w="36" w:type="dxa"/>
              <w:bottom w:w="36" w:type="dxa"/>
            </w:tcMar>
            <w:vAlign w:val="center"/>
          </w:tcPr>
          <w:p w:rsidR="00C613CF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10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C613CF" w:rsidRPr="00C77682" w:rsidTr="00A41E9A">
        <w:trPr>
          <w:trHeight w:val="1754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56" w:type="pct"/>
            <w:gridSpan w:val="4"/>
            <w:shd w:val="clear" w:color="auto" w:fill="auto"/>
            <w:tcMar>
              <w:top w:w="36" w:type="dxa"/>
              <w:bottom w:w="36" w:type="dxa"/>
            </w:tcMar>
            <w:hideMark/>
          </w:tcPr>
          <w:p w:rsidR="00C613CF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Provide rationale for selection of applicable minimum separation to seasonally high mounded groundwater: </w:t>
            </w:r>
          </w:p>
        </w:tc>
      </w:tr>
      <w:tr w:rsidR="00C613CF" w:rsidRPr="00C77682" w:rsidTr="00A41E9A">
        <w:trPr>
          <w:trHeight w:val="330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83" w:type="pct"/>
            <w:gridSpan w:val="2"/>
            <w:shd w:val="clear" w:color="auto" w:fill="auto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is the separation from the infiltrating surface to seasonally high groundwater?</w:t>
            </w:r>
          </w:p>
        </w:tc>
        <w:tc>
          <w:tcPr>
            <w:tcW w:w="586" w:type="pct"/>
            <w:tcMar>
              <w:top w:w="36" w:type="dxa"/>
              <w:bottom w:w="36" w:type="dxa"/>
            </w:tcMar>
            <w:vAlign w:val="center"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pct"/>
            <w:tcMar>
              <w:top w:w="36" w:type="dxa"/>
              <w:bottom w:w="36" w:type="dxa"/>
            </w:tcMar>
            <w:vAlign w:val="center"/>
          </w:tcPr>
          <w:p w:rsidR="00C613CF" w:rsidRPr="00C77682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C613CF" w:rsidRPr="00C77682" w:rsidTr="00A41E9A">
        <w:trPr>
          <w:trHeight w:val="330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83" w:type="pct"/>
            <w:gridSpan w:val="2"/>
            <w:shd w:val="clear" w:color="auto" w:fill="auto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is the separation from the infiltrating surface to mounded seasonally high groundwater?</w:t>
            </w:r>
          </w:p>
        </w:tc>
        <w:tc>
          <w:tcPr>
            <w:tcW w:w="586" w:type="pct"/>
            <w:tcMar>
              <w:top w:w="36" w:type="dxa"/>
              <w:bottom w:w="36" w:type="dxa"/>
            </w:tcMar>
            <w:vAlign w:val="center"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7" w:type="pct"/>
            <w:tcMar>
              <w:top w:w="36" w:type="dxa"/>
              <w:bottom w:w="36" w:type="dxa"/>
            </w:tcMar>
            <w:vAlign w:val="center"/>
          </w:tcPr>
          <w:p w:rsidR="00C613CF" w:rsidRPr="00C77682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C613CF" w:rsidRPr="00C77682" w:rsidTr="00A41E9A">
        <w:trPr>
          <w:trHeight w:val="1763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6" w:type="pct"/>
            <w:gridSpan w:val="4"/>
            <w:shd w:val="clear" w:color="auto" w:fill="auto"/>
            <w:tcMar>
              <w:top w:w="36" w:type="dxa"/>
              <w:bottom w:w="36" w:type="dxa"/>
            </w:tcMar>
            <w:hideMark/>
          </w:tcPr>
          <w:p w:rsidR="00C613CF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Describe assumptions and methods used for mounding analysis:</w:t>
            </w:r>
          </w:p>
        </w:tc>
      </w:tr>
      <w:tr w:rsidR="00C613CF" w:rsidRPr="00C77682" w:rsidTr="00A41E9A">
        <w:trPr>
          <w:trHeight w:val="330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Default="00C613CF" w:rsidP="00A41E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7" w:type="pct"/>
            <w:shd w:val="clear" w:color="auto" w:fill="auto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82">
              <w:rPr>
                <w:rFonts w:ascii="Arial" w:hAnsi="Arial" w:cs="Arial"/>
                <w:color w:val="000000"/>
                <w:sz w:val="20"/>
                <w:szCs w:val="20"/>
              </w:rPr>
              <w:t>Is the site within a plume protection boundary</w:t>
            </w:r>
            <w:r w:rsidRPr="007762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759" w:type="pct"/>
            <w:gridSpan w:val="3"/>
            <w:tcMar>
              <w:top w:w="36" w:type="dxa"/>
              <w:bottom w:w="36" w:type="dxa"/>
            </w:tcMar>
            <w:vAlign w:val="center"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          N          N/A</w:t>
            </w:r>
          </w:p>
        </w:tc>
      </w:tr>
      <w:tr w:rsidR="00C613CF" w:rsidRPr="00C77682" w:rsidTr="00A41E9A">
        <w:trPr>
          <w:trHeight w:val="330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Default="00C613CF" w:rsidP="00A41E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97" w:type="pct"/>
            <w:shd w:val="clear" w:color="auto" w:fill="auto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82">
              <w:rPr>
                <w:rFonts w:ascii="Arial" w:hAnsi="Arial" w:cs="Arial"/>
                <w:color w:val="000000"/>
                <w:sz w:val="20"/>
                <w:szCs w:val="20"/>
              </w:rPr>
              <w:t xml:space="preserve">Is the site within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selenium source area or other natural plume area</w:t>
            </w:r>
            <w:r w:rsidRPr="007762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759" w:type="pct"/>
            <w:gridSpan w:val="3"/>
            <w:tcMar>
              <w:top w:w="36" w:type="dxa"/>
              <w:bottom w:w="36" w:type="dxa"/>
            </w:tcMar>
            <w:vAlign w:val="center"/>
          </w:tcPr>
          <w:p w:rsidR="00C613CF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          N          N/A</w:t>
            </w:r>
          </w:p>
        </w:tc>
      </w:tr>
      <w:tr w:rsidR="00C613CF" w:rsidRPr="00C77682" w:rsidTr="00A41E9A">
        <w:trPr>
          <w:trHeight w:val="330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Default="00C613CF" w:rsidP="00A41E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7" w:type="pct"/>
            <w:shd w:val="clear" w:color="auto" w:fill="auto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  <w:hideMark/>
          </w:tcPr>
          <w:p w:rsidR="00C613CF" w:rsidRPr="00BD2C32" w:rsidRDefault="00C613CF" w:rsidP="00A41E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7682">
              <w:rPr>
                <w:rFonts w:ascii="Arial" w:hAnsi="Arial" w:cs="Arial"/>
                <w:color w:val="000000"/>
                <w:sz w:val="20"/>
                <w:szCs w:val="20"/>
              </w:rPr>
              <w:t xml:space="preserve">Is the site </w:t>
            </w:r>
            <w:r w:rsidRPr="00776265">
              <w:rPr>
                <w:rFonts w:ascii="Arial" w:hAnsi="Arial" w:cs="Arial"/>
                <w:sz w:val="20"/>
                <w:szCs w:val="20"/>
              </w:rPr>
              <w:t>within 250 feet of a contaminated site?</w:t>
            </w:r>
          </w:p>
        </w:tc>
        <w:tc>
          <w:tcPr>
            <w:tcW w:w="1759" w:type="pct"/>
            <w:gridSpan w:val="3"/>
            <w:tcMar>
              <w:top w:w="36" w:type="dxa"/>
              <w:bottom w:w="36" w:type="dxa"/>
            </w:tcMar>
            <w:vAlign w:val="center"/>
          </w:tcPr>
          <w:p w:rsidR="00C613CF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          N          N/A</w:t>
            </w:r>
          </w:p>
        </w:tc>
      </w:tr>
      <w:tr w:rsidR="00C613CF" w:rsidRPr="00C77682" w:rsidTr="00A41E9A">
        <w:trPr>
          <w:trHeight w:val="1952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Default="00C613CF" w:rsidP="00A41E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6" w:type="pct"/>
            <w:gridSpan w:val="4"/>
            <w:shd w:val="clear" w:color="auto" w:fill="auto"/>
            <w:tcMar>
              <w:top w:w="36" w:type="dxa"/>
              <w:left w:w="115" w:type="dxa"/>
              <w:bottom w:w="36" w:type="dxa"/>
              <w:right w:w="115" w:type="dxa"/>
            </w:tcMar>
            <w:hideMark/>
          </w:tcPr>
          <w:p w:rsidR="00C613CF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 site-specific study has been prepared, provide citation and briefly summarize relevant findings:</w:t>
            </w:r>
          </w:p>
        </w:tc>
      </w:tr>
      <w:tr w:rsidR="00C613CF" w:rsidRPr="00C77682" w:rsidTr="00A41E9A">
        <w:trPr>
          <w:trHeight w:val="330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Default="00C613CF" w:rsidP="00A41E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7" w:type="pct"/>
            <w:shd w:val="clear" w:color="auto" w:fill="auto"/>
            <w:tcMar>
              <w:top w:w="36" w:type="dxa"/>
              <w:left w:w="115" w:type="dxa"/>
              <w:bottom w:w="36" w:type="dxa"/>
              <w:right w:w="115" w:type="dxa"/>
            </w:tcMar>
            <w:vAlign w:val="center"/>
            <w:hideMark/>
          </w:tcPr>
          <w:p w:rsidR="00C613CF" w:rsidRDefault="00C613CF" w:rsidP="00A41E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682">
              <w:rPr>
                <w:rFonts w:ascii="Arial" w:hAnsi="Arial" w:cs="Arial"/>
                <w:color w:val="000000"/>
                <w:sz w:val="20"/>
                <w:szCs w:val="20"/>
              </w:rPr>
              <w:t xml:space="preserve">Is the site within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100 feet of a water supply well, spring, or septic system</w:t>
            </w:r>
            <w:r w:rsidRPr="007762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759" w:type="pct"/>
            <w:gridSpan w:val="3"/>
            <w:tcMar>
              <w:top w:w="36" w:type="dxa"/>
              <w:bottom w:w="36" w:type="dxa"/>
            </w:tcMar>
            <w:vAlign w:val="center"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          N          N/A</w:t>
            </w:r>
          </w:p>
        </w:tc>
      </w:tr>
      <w:tr w:rsidR="00C613CF" w:rsidRPr="00C77682" w:rsidTr="00A41E9A">
        <w:trPr>
          <w:trHeight w:val="330"/>
        </w:trPr>
        <w:tc>
          <w:tcPr>
            <w:tcW w:w="244" w:type="pct"/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7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C613CF" w:rsidRPr="00C77682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 infiltration feasible on the site relative to groundwater-related criteria?</w:t>
            </w:r>
          </w:p>
        </w:tc>
        <w:tc>
          <w:tcPr>
            <w:tcW w:w="1759" w:type="pct"/>
            <w:gridSpan w:val="3"/>
            <w:tcMar>
              <w:top w:w="36" w:type="dxa"/>
              <w:bottom w:w="36" w:type="dxa"/>
            </w:tcMar>
            <w:vAlign w:val="center"/>
          </w:tcPr>
          <w:p w:rsidR="00C613CF" w:rsidRPr="00C77682" w:rsidRDefault="00C613CF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          N</w:t>
            </w:r>
          </w:p>
        </w:tc>
      </w:tr>
      <w:tr w:rsidR="00C613CF" w:rsidRPr="00C77682" w:rsidTr="00A41E9A">
        <w:trPr>
          <w:trHeight w:val="3860"/>
        </w:trPr>
        <w:tc>
          <w:tcPr>
            <w:tcW w:w="5000" w:type="pct"/>
            <w:gridSpan w:val="5"/>
            <w:shd w:val="clear" w:color="auto" w:fill="auto"/>
            <w:noWrap/>
            <w:tcMar>
              <w:top w:w="36" w:type="dxa"/>
              <w:bottom w:w="36" w:type="dxa"/>
            </w:tcMar>
            <w:hideMark/>
          </w:tcPr>
          <w:p w:rsidR="00C613CF" w:rsidRPr="00C77682" w:rsidRDefault="00C613CF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Provide rationale for feasibility determination:</w:t>
            </w:r>
          </w:p>
        </w:tc>
      </w:tr>
    </w:tbl>
    <w:p w:rsidR="00C613CF" w:rsidRDefault="00C613CF" w:rsidP="00C613CF">
      <w:pPr>
        <w:pStyle w:val="CDMBTEXT"/>
      </w:pPr>
      <w:r>
        <w:t>Note: if a single criterion or group of criteria would render infiltration infeasible, it is not necessary to evaluate every question in this worksheet.</w:t>
      </w:r>
    </w:p>
    <w:p w:rsidR="00B40158" w:rsidRDefault="00B40158"/>
    <w:sectPr w:rsidR="00B4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C295C"/>
    <w:multiLevelType w:val="multilevel"/>
    <w:tmpl w:val="651C83FC"/>
    <w:lvl w:ilvl="0">
      <w:start w:val="1"/>
      <w:numFmt w:val="upperLetter"/>
      <w:pStyle w:val="Heading1"/>
      <w:lvlText w:val="Appendix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CF"/>
    <w:rsid w:val="00A7659F"/>
    <w:rsid w:val="00B40158"/>
    <w:rsid w:val="00C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8524"/>
  <w15:chartTrackingRefBased/>
  <w15:docId w15:val="{C7C20A61-ACE7-472B-8CCB-0615C268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3CF"/>
    <w:pPr>
      <w:spacing w:after="240" w:line="276" w:lineRule="auto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qFormat/>
    <w:rsid w:val="00C613CF"/>
    <w:pPr>
      <w:keepNext/>
      <w:keepLines/>
      <w:pageBreakBefore/>
      <w:numPr>
        <w:numId w:val="1"/>
      </w:numPr>
      <w:tabs>
        <w:tab w:val="left" w:pos="720"/>
      </w:tabs>
      <w:spacing w:line="264" w:lineRule="auto"/>
      <w:outlineLvl w:val="0"/>
    </w:pPr>
    <w:rPr>
      <w:rFonts w:eastAsia="Times New Roman" w:cs="Times New Roman"/>
      <w:b/>
      <w:caps/>
      <w:sz w:val="32"/>
      <w:szCs w:val="24"/>
    </w:rPr>
  </w:style>
  <w:style w:type="paragraph" w:styleId="Heading2">
    <w:name w:val="heading 2"/>
    <w:basedOn w:val="Normal"/>
    <w:next w:val="BodyText"/>
    <w:link w:val="Heading2Char"/>
    <w:qFormat/>
    <w:rsid w:val="00C613CF"/>
    <w:pPr>
      <w:keepNext/>
      <w:numPr>
        <w:ilvl w:val="1"/>
        <w:numId w:val="1"/>
      </w:numPr>
      <w:tabs>
        <w:tab w:val="left" w:pos="720"/>
      </w:tabs>
      <w:spacing w:before="120" w:line="264" w:lineRule="auto"/>
      <w:outlineLvl w:val="1"/>
    </w:pPr>
    <w:rPr>
      <w:rFonts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3CF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="Times New Roman"/>
      <w:b/>
      <w:bCs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13CF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C613CF"/>
    <w:pPr>
      <w:numPr>
        <w:ilvl w:val="5"/>
        <w:numId w:val="1"/>
      </w:numPr>
      <w:spacing w:after="120" w:line="264" w:lineRule="auto"/>
      <w:jc w:val="both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C613CF"/>
    <w:pPr>
      <w:numPr>
        <w:ilvl w:val="6"/>
        <w:numId w:val="1"/>
      </w:numPr>
      <w:tabs>
        <w:tab w:val="left" w:pos="950"/>
      </w:tabs>
      <w:spacing w:before="240" w:after="60" w:line="264" w:lineRule="auto"/>
      <w:jc w:val="both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qFormat/>
    <w:rsid w:val="00C613CF"/>
    <w:pPr>
      <w:numPr>
        <w:ilvl w:val="7"/>
        <w:numId w:val="1"/>
      </w:numPr>
      <w:tabs>
        <w:tab w:val="left" w:pos="950"/>
      </w:tabs>
      <w:spacing w:before="240" w:after="60" w:line="264" w:lineRule="auto"/>
      <w:jc w:val="both"/>
      <w:outlineLvl w:val="7"/>
    </w:pPr>
    <w:rPr>
      <w:rFonts w:eastAsia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C613CF"/>
    <w:pPr>
      <w:numPr>
        <w:ilvl w:val="8"/>
        <w:numId w:val="1"/>
      </w:numPr>
      <w:tabs>
        <w:tab w:val="left" w:pos="950"/>
      </w:tabs>
      <w:spacing w:before="240" w:after="60" w:line="264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3CF"/>
    <w:rPr>
      <w:rFonts w:ascii="Book Antiqua" w:eastAsia="Times New Roman" w:hAnsi="Book Antiqua" w:cs="Times New Roman"/>
      <w:b/>
      <w:cap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C613CF"/>
    <w:rPr>
      <w:rFonts w:ascii="Book Antiqua" w:eastAsia="Times New Roman" w:hAnsi="Book Antiqua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613CF"/>
    <w:rPr>
      <w:rFonts w:ascii="Book Antiqua" w:eastAsiaTheme="majorEastAsia" w:hAnsi="Book Antiqua" w:cs="Times New Roman"/>
      <w:b/>
      <w:bCs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613CF"/>
    <w:rPr>
      <w:rFonts w:ascii="Book Antiqua" w:eastAsiaTheme="majorEastAsia" w:hAnsi="Book Antiqua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C613CF"/>
    <w:rPr>
      <w:rFonts w:ascii="Book Antiqua" w:eastAsia="Times New Roman" w:hAnsi="Book Antiqu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C613CF"/>
    <w:rPr>
      <w:rFonts w:ascii="Book Antiqua" w:eastAsia="Times New Roman" w:hAnsi="Book Antiqua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613CF"/>
    <w:rPr>
      <w:rFonts w:ascii="Book Antiqua" w:eastAsia="Times New Roman" w:hAnsi="Book Antiqua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613CF"/>
    <w:rPr>
      <w:rFonts w:ascii="Arial" w:eastAsia="Times New Roman" w:hAnsi="Arial" w:cs="Arial"/>
    </w:rPr>
  </w:style>
  <w:style w:type="paragraph" w:customStyle="1" w:styleId="CDMBTEXT">
    <w:name w:val="CDM B/TEXT"/>
    <w:basedOn w:val="Normal"/>
    <w:link w:val="CDMBTEXTChar"/>
    <w:qFormat/>
    <w:rsid w:val="00C613CF"/>
    <w:pPr>
      <w:spacing w:line="264" w:lineRule="auto"/>
    </w:pPr>
    <w:rPr>
      <w:rFonts w:eastAsia="Times New Roman" w:cs="Times New Roman"/>
      <w:szCs w:val="20"/>
    </w:rPr>
  </w:style>
  <w:style w:type="character" w:customStyle="1" w:styleId="CDMBTEXTChar">
    <w:name w:val="CDM B/TEXT Char"/>
    <w:basedOn w:val="DefaultParagraphFont"/>
    <w:link w:val="CDMBTEXT"/>
    <w:rsid w:val="00C613CF"/>
    <w:rPr>
      <w:rFonts w:ascii="Book Antiqua" w:eastAsia="Times New Roman" w:hAnsi="Book Antiqua" w:cs="Times New Roman"/>
      <w:szCs w:val="20"/>
    </w:rPr>
  </w:style>
  <w:style w:type="paragraph" w:styleId="Caption">
    <w:name w:val="caption"/>
    <w:aliases w:val="Cap_Ventura,Ventura_Cap,Caption Char Char Char Char,Caption Figure,Caption Figure/Table"/>
    <w:basedOn w:val="Normal"/>
    <w:next w:val="Normal"/>
    <w:link w:val="CaptionChar"/>
    <w:unhideWhenUsed/>
    <w:qFormat/>
    <w:rsid w:val="00C613CF"/>
    <w:pPr>
      <w:keepNext/>
      <w:tabs>
        <w:tab w:val="left" w:pos="475"/>
        <w:tab w:val="left" w:pos="950"/>
        <w:tab w:val="left" w:pos="2390"/>
      </w:tabs>
      <w:spacing w:line="240" w:lineRule="auto"/>
      <w:jc w:val="both"/>
    </w:pPr>
    <w:rPr>
      <w:rFonts w:eastAsiaTheme="minorEastAsia" w:cs="Times New Roman"/>
      <w:b/>
      <w:bCs/>
      <w:sz w:val="32"/>
      <w:szCs w:val="20"/>
      <w:lang w:bidi="en-US"/>
    </w:rPr>
  </w:style>
  <w:style w:type="character" w:customStyle="1" w:styleId="CaptionChar">
    <w:name w:val="Caption Char"/>
    <w:aliases w:val="Cap_Ventura Char,Ventura_Cap Char,Caption Char Char Char Char Char,Caption Figure Char,Caption Figure/Table Char"/>
    <w:basedOn w:val="Heading1Char"/>
    <w:link w:val="Caption"/>
    <w:rsid w:val="00C613CF"/>
    <w:rPr>
      <w:rFonts w:ascii="Book Antiqua" w:eastAsiaTheme="minorEastAsia" w:hAnsi="Book Antiqua" w:cs="Times New Roman"/>
      <w:b/>
      <w:bCs/>
      <w:caps w:val="0"/>
      <w:sz w:val="32"/>
      <w:szCs w:val="20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613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3CF"/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D258-064A-4B41-8231-A21A39E5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Harvey</dc:creator>
  <cp:keywords/>
  <dc:description/>
  <cp:lastModifiedBy>Jack Harvey</cp:lastModifiedBy>
  <cp:revision>2</cp:revision>
  <dcterms:created xsi:type="dcterms:W3CDTF">2017-08-08T22:34:00Z</dcterms:created>
  <dcterms:modified xsi:type="dcterms:W3CDTF">2017-08-08T22:38:00Z</dcterms:modified>
</cp:coreProperties>
</file>