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5310"/>
        <w:gridCol w:w="1078"/>
        <w:gridCol w:w="24"/>
        <w:gridCol w:w="1055"/>
        <w:gridCol w:w="97"/>
        <w:gridCol w:w="1055"/>
        <w:gridCol w:w="13"/>
        <w:gridCol w:w="24"/>
      </w:tblGrid>
      <w:tr w:rsidR="002650EC" w:rsidRPr="003C085B" w:rsidTr="00A41E9A">
        <w:trPr>
          <w:gridAfter w:val="2"/>
          <w:wAfter w:w="20" w:type="pct"/>
          <w:trHeight w:val="300"/>
          <w:tblHeader/>
        </w:trPr>
        <w:tc>
          <w:tcPr>
            <w:tcW w:w="49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3C085B" w:rsidRDefault="002650EC" w:rsidP="00A41E9A">
            <w:pPr>
              <w:rPr>
                <w:lang w:bidi="en-US"/>
              </w:rPr>
            </w:pPr>
            <w:bookmarkStart w:id="0" w:name="_GoBack"/>
            <w:bookmarkEnd w:id="0"/>
            <w:r w:rsidRPr="003C085B">
              <w:rPr>
                <w:rFonts w:eastAsiaTheme="minorEastAsia" w:cs="Times New Roman"/>
                <w:b/>
                <w:bCs/>
                <w:szCs w:val="20"/>
                <w:lang w:bidi="en-US"/>
              </w:rPr>
              <w:t>Worksheet</w:t>
            </w:r>
            <w:r>
              <w:rPr>
                <w:rFonts w:eastAsiaTheme="minorEastAsia" w:cs="Times New Roman"/>
                <w:b/>
                <w:bCs/>
                <w:szCs w:val="20"/>
                <w:lang w:bidi="en-US"/>
              </w:rPr>
              <w:t xml:space="preserve"> 6</w:t>
            </w:r>
            <w:r w:rsidRPr="003C085B">
              <w:rPr>
                <w:rFonts w:eastAsiaTheme="minorEastAsia" w:cs="Times New Roman"/>
                <w:b/>
                <w:bCs/>
                <w:szCs w:val="20"/>
                <w:lang w:bidi="en-US"/>
              </w:rPr>
              <w:t>: Capture Efficiency Method for Full Infiltration, Constant Drawdown BMPs</w:t>
            </w:r>
            <w:r w:rsidRPr="003C085B">
              <w:rPr>
                <w:lang w:bidi="en-US"/>
              </w:rPr>
              <w:t xml:space="preserve"> </w:t>
            </w:r>
          </w:p>
        </w:tc>
      </w:tr>
      <w:tr w:rsidR="002650EC" w:rsidRPr="004B0AAA" w:rsidTr="00A41E9A">
        <w:trPr>
          <w:trHeight w:val="330"/>
        </w:trPr>
        <w:tc>
          <w:tcPr>
            <w:tcW w:w="5000" w:type="pct"/>
            <w:gridSpan w:val="9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Part 1: Calculate the design depth and drawdown time</w:t>
            </w:r>
          </w:p>
        </w:tc>
      </w:tr>
      <w:tr w:rsidR="002650EC" w:rsidRPr="00165DDD" w:rsidTr="00A41E9A">
        <w:trPr>
          <w:gridAfter w:val="1"/>
          <w:wAfter w:w="13" w:type="pct"/>
          <w:trHeight w:val="482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2650EC" w:rsidRPr="00041077" w:rsidRDefault="002650EC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858" w:type="pct"/>
            <w:shd w:val="clear" w:color="auto" w:fill="auto"/>
            <w:vAlign w:val="center"/>
            <w:hideMark/>
          </w:tcPr>
          <w:p w:rsidR="002650EC" w:rsidRPr="00165DDD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total effective storage depth (sum of values below)</w:t>
            </w:r>
          </w:p>
        </w:tc>
        <w:tc>
          <w:tcPr>
            <w:tcW w:w="580" w:type="pct"/>
            <w:vAlign w:val="center"/>
          </w:tcPr>
          <w:p w:rsidR="002650EC" w:rsidRPr="007E147F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81" w:type="pct"/>
            <w:gridSpan w:val="2"/>
          </w:tcPr>
          <w:p w:rsidR="002650EC" w:rsidRPr="00041077" w:rsidRDefault="002650EC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7" w:type="pct"/>
            <w:gridSpan w:val="3"/>
            <w:vAlign w:val="center"/>
          </w:tcPr>
          <w:p w:rsidR="002650EC" w:rsidRPr="00165DDD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2650EC" w:rsidTr="00A41E9A">
        <w:trPr>
          <w:gridAfter w:val="1"/>
          <w:wAfter w:w="13" w:type="pct"/>
          <w:trHeight w:val="239"/>
        </w:trPr>
        <w:tc>
          <w:tcPr>
            <w:tcW w:w="341" w:type="pct"/>
            <w:shd w:val="clear" w:color="auto" w:fill="auto"/>
            <w:noWrap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1a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ind w:left="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Ponding storage depth </w:t>
            </w:r>
          </w:p>
        </w:tc>
        <w:tc>
          <w:tcPr>
            <w:tcW w:w="580" w:type="pct"/>
            <w:vAlign w:val="center"/>
          </w:tcPr>
          <w:p w:rsidR="002650EC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pond</w:t>
            </w:r>
            <w:proofErr w:type="spellEnd"/>
          </w:p>
        </w:tc>
        <w:tc>
          <w:tcPr>
            <w:tcW w:w="581" w:type="pct"/>
            <w:gridSpan w:val="2"/>
          </w:tcPr>
          <w:p w:rsidR="002650EC" w:rsidRPr="00041077" w:rsidRDefault="002650EC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7" w:type="pct"/>
            <w:gridSpan w:val="3"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2650EC" w:rsidTr="00A41E9A">
        <w:trPr>
          <w:gridAfter w:val="1"/>
          <w:wAfter w:w="13" w:type="pct"/>
          <w:trHeight w:val="320"/>
        </w:trPr>
        <w:tc>
          <w:tcPr>
            <w:tcW w:w="341" w:type="pct"/>
            <w:shd w:val="clear" w:color="auto" w:fill="auto"/>
            <w:noWrap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1b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ind w:left="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Media effective storage depth (depth * 0.2)</w:t>
            </w:r>
          </w:p>
        </w:tc>
        <w:tc>
          <w:tcPr>
            <w:tcW w:w="580" w:type="pct"/>
            <w:vAlign w:val="center"/>
          </w:tcPr>
          <w:p w:rsidR="002650EC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81" w:type="pct"/>
            <w:gridSpan w:val="2"/>
          </w:tcPr>
          <w:p w:rsidR="002650EC" w:rsidRPr="00041077" w:rsidRDefault="002650EC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7" w:type="pct"/>
            <w:gridSpan w:val="3"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2650EC" w:rsidTr="00A41E9A">
        <w:trPr>
          <w:gridAfter w:val="1"/>
          <w:wAfter w:w="13" w:type="pct"/>
          <w:trHeight w:val="290"/>
        </w:trPr>
        <w:tc>
          <w:tcPr>
            <w:tcW w:w="341" w:type="pct"/>
            <w:shd w:val="clear" w:color="auto" w:fill="auto"/>
            <w:noWrap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1c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ind w:left="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Gravel effective storage (depth * 0.4)</w:t>
            </w:r>
          </w:p>
        </w:tc>
        <w:tc>
          <w:tcPr>
            <w:tcW w:w="580" w:type="pct"/>
            <w:vAlign w:val="center"/>
          </w:tcPr>
          <w:p w:rsidR="002650EC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81" w:type="pct"/>
            <w:gridSpan w:val="2"/>
          </w:tcPr>
          <w:p w:rsidR="002650EC" w:rsidRPr="00041077" w:rsidRDefault="002650EC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7" w:type="pct"/>
            <w:gridSpan w:val="3"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2650EC" w:rsidRPr="00165DDD" w:rsidTr="00A41E9A">
        <w:trPr>
          <w:trHeight w:val="482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2650EC" w:rsidRPr="00041077" w:rsidRDefault="002650EC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2a</w:t>
            </w:r>
          </w:p>
        </w:tc>
        <w:tc>
          <w:tcPr>
            <w:tcW w:w="2858" w:type="pct"/>
            <w:shd w:val="clear" w:color="auto" w:fill="auto"/>
            <w:vAlign w:val="center"/>
            <w:hideMark/>
          </w:tcPr>
          <w:p w:rsidR="002650EC" w:rsidRPr="00A35989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design infiltration rate,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observed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/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(See </w:t>
            </w:r>
            <w:r w:rsidRPr="00870AA9">
              <w:rPr>
                <w:rFonts w:eastAsia="Times New Roman" w:cs="Arial"/>
                <w:sz w:val="20"/>
                <w:szCs w:val="20"/>
              </w:rPr>
              <w:t>Worksheet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9924EA">
              <w:rPr>
                <w:rFonts w:ascii="Arial" w:eastAsia="Times New Roman" w:hAnsi="Arial" w:cs="Arial"/>
                <w:sz w:val="20"/>
                <w:szCs w:val="20"/>
              </w:rPr>
              <w:t>Appendix 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580" w:type="pct"/>
            <w:vAlign w:val="center"/>
          </w:tcPr>
          <w:p w:rsidR="002650EC" w:rsidRPr="007E147F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design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81" w:type="pct"/>
            <w:gridSpan w:val="2"/>
          </w:tcPr>
          <w:p w:rsidR="002650EC" w:rsidRPr="00041077" w:rsidRDefault="002650EC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0" w:type="pct"/>
            <w:gridSpan w:val="4"/>
            <w:vAlign w:val="center"/>
          </w:tcPr>
          <w:p w:rsidR="002650EC" w:rsidRPr="00165DDD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2650EC" w:rsidTr="00A41E9A">
        <w:trPr>
          <w:trHeight w:val="395"/>
        </w:trPr>
        <w:tc>
          <w:tcPr>
            <w:tcW w:w="341" w:type="pct"/>
            <w:shd w:val="clear" w:color="auto" w:fill="auto"/>
            <w:noWrap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2b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2650EC" w:rsidRPr="007D35FF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drawdown time (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FE3F38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total_effective</w:t>
            </w:r>
            <w:proofErr w:type="spellEnd"/>
            <w:r w:rsidRPr="00FE3F38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</w:t>
            </w:r>
            <w:r w:rsidRPr="00FE3F38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650EC" w:rsidRPr="009B45B9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</w:pPr>
            <w:proofErr w:type="spellStart"/>
            <w:r w:rsidRPr="009B45B9">
              <w:rPr>
                <w:rFonts w:ascii="Arial" w:eastAsia="Times New Roman" w:hAnsi="Arial" w:cs="Arial"/>
                <w:i/>
                <w:sz w:val="20"/>
                <w:szCs w:val="20"/>
              </w:rPr>
              <w:t>T</w:t>
            </w:r>
            <w:r w:rsidRPr="009B45B9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drawdown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81" w:type="pct"/>
            <w:gridSpan w:val="2"/>
          </w:tcPr>
          <w:p w:rsidR="002650EC" w:rsidRPr="00041077" w:rsidRDefault="002650EC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0" w:type="pct"/>
            <w:gridSpan w:val="4"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2650EC" w:rsidTr="00A41E9A">
        <w:trPr>
          <w:trHeight w:val="612"/>
        </w:trPr>
        <w:tc>
          <w:tcPr>
            <w:tcW w:w="341" w:type="pct"/>
            <w:shd w:val="clear" w:color="auto" w:fill="auto"/>
            <w:noWrap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2c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using Method 2 for drawdown (</w:t>
            </w:r>
            <w:r w:rsidR="009924EA">
              <w:rPr>
                <w:rFonts w:ascii="Arial" w:eastAsia="Times New Roman" w:hAnsi="Arial" w:cs="Arial"/>
                <w:sz w:val="20"/>
                <w:szCs w:val="20"/>
              </w:rPr>
              <w:t>Section E.2.5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 which accounts for sidewall infiltration, insert result and attach relevant calculations below.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5B9">
              <w:rPr>
                <w:rFonts w:ascii="Arial" w:eastAsia="Times New Roman" w:hAnsi="Arial" w:cs="Arial"/>
                <w:i/>
                <w:sz w:val="20"/>
                <w:szCs w:val="20"/>
              </w:rPr>
              <w:t>T</w:t>
            </w:r>
            <w:r w:rsidRPr="009B45B9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drawdown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81" w:type="pct"/>
            <w:gridSpan w:val="2"/>
          </w:tcPr>
          <w:p w:rsidR="002650EC" w:rsidRPr="00041077" w:rsidRDefault="002650EC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0" w:type="pct"/>
            <w:gridSpan w:val="4"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2650EC" w:rsidRPr="004B0AAA" w:rsidTr="00A41E9A">
        <w:trPr>
          <w:trHeight w:val="330"/>
        </w:trPr>
        <w:tc>
          <w:tcPr>
            <w:tcW w:w="5000" w:type="pct"/>
            <w:gridSpan w:val="9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Part 2: Determine the portion of the design storm for the BMP</w:t>
            </w: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612526" w:rsidRDefault="002650EC" w:rsidP="00A41E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  <w:hideMark/>
          </w:tcPr>
          <w:p w:rsidR="002650EC" w:rsidRPr="00DC3C43" w:rsidRDefault="002650EC" w:rsidP="00A41E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Using</w:t>
            </w:r>
            <w:r w:rsidR="009924EA">
              <w:rPr>
                <w:rFonts w:ascii="Arial" w:eastAsia="Times New Roman" w:hAnsi="Arial" w:cs="Arial"/>
                <w:sz w:val="20"/>
                <w:szCs w:val="20"/>
              </w:rPr>
              <w:t xml:space="preserve"> Figure E-4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C3C43">
              <w:rPr>
                <w:rFonts w:ascii="Arial" w:eastAsia="Times New Roman" w:hAnsi="Arial" w:cs="Arial"/>
                <w:sz w:val="20"/>
                <w:szCs w:val="20"/>
              </w:rPr>
              <w:t>or the figure within the worksheet below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, determine the "fraction of design capture storm depth" at which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BMP 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drawdown time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line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intersects with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 80% capture efficiency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 Trace down to determine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C3C4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753C9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bottom"/>
          </w:tcPr>
          <w:p w:rsidR="002650EC" w:rsidRPr="004B0AAA" w:rsidRDefault="002650EC" w:rsidP="00A41E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AA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4B0AA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4B0AAA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612526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2650EC" w:rsidRPr="00DC3C43" w:rsidRDefault="002650EC" w:rsidP="00A41E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Enter capture efficiency corresponding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upstream HSCs and/or upstream Harvest and Use BMPs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6F6468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EF262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6468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EF262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612526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2650EC" w:rsidRPr="00DC3C43" w:rsidRDefault="002650EC" w:rsidP="00A41E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Using</w:t>
            </w:r>
            <w:r w:rsidR="009924EA">
              <w:rPr>
                <w:rFonts w:ascii="Arial" w:eastAsia="Times New Roman" w:hAnsi="Arial" w:cs="Arial"/>
                <w:sz w:val="20"/>
                <w:szCs w:val="20"/>
              </w:rPr>
              <w:t xml:space="preserve"> Figure E-4</w:t>
            </w:r>
            <w:r w:rsidRPr="00DC3C43">
              <w:rPr>
                <w:rFonts w:ascii="Arial" w:eastAsia="Times New Roman" w:hAnsi="Arial" w:cs="Arial"/>
                <w:sz w:val="20"/>
                <w:szCs w:val="20"/>
              </w:rPr>
              <w:t xml:space="preserve"> or the figure within the worksheet below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, determine the fraction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“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design capture storm depth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 at which the drawdown time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of the BMP intersects with 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equivalent of the 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upstream capture efficiency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(Y</w:t>
            </w:r>
            <w:r w:rsidRPr="00753C9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Trace down to determine </w:t>
            </w:r>
            <w:r w:rsidRPr="00DC3C4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753C9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4B0AAA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612526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Calculate the fraction of design capture storm depth that must be provided by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BMP, </w:t>
            </w:r>
            <w:r w:rsidRPr="00DC3C43">
              <w:rPr>
                <w:rFonts w:ascii="Arial" w:eastAsia="Times New Roman" w:hAnsi="Arial" w:cs="Arial"/>
                <w:sz w:val="20"/>
                <w:szCs w:val="20"/>
              </w:rPr>
              <w:t>fraction = X</w:t>
            </w:r>
            <w:r w:rsidRPr="00753C9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 w:rsidRPr="00DC3C43">
              <w:rPr>
                <w:rFonts w:ascii="Arial" w:eastAsia="Times New Roman" w:hAnsi="Arial" w:cs="Arial"/>
                <w:sz w:val="20"/>
                <w:szCs w:val="20"/>
              </w:rPr>
              <w:t xml:space="preserve"> – X</w:t>
            </w:r>
            <w:r w:rsidRPr="00753C9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fraction=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2650EC" w:rsidRPr="00612526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bottom w:w="36" w:type="dxa"/>
            </w:tcMar>
            <w:vAlign w:val="bottom"/>
          </w:tcPr>
          <w:p w:rsidR="002650EC" w:rsidRPr="004B0AAA" w:rsidRDefault="002650EC" w:rsidP="00A41E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Enter design capture storm depth from</w:t>
            </w:r>
            <w:r w:rsidRPr="00DC3C43">
              <w:rPr>
                <w:rFonts w:ascii="Arial" w:eastAsia="Times New Roman" w:hAnsi="Arial" w:cs="Arial"/>
                <w:sz w:val="20"/>
                <w:szCs w:val="20"/>
              </w:rPr>
              <w:t xml:space="preserve"> N-1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C3C43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(inches)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d=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612526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3C43">
              <w:rPr>
                <w:rFonts w:ascii="Arial" w:eastAsia="Times New Roman" w:hAnsi="Arial" w:cs="Arial"/>
                <w:sz w:val="20"/>
                <w:szCs w:val="20"/>
              </w:rPr>
              <w:t>Calculate the storm depth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use in sizing calculations, </w:t>
            </w:r>
            <w:proofErr w:type="spellStart"/>
            <w:r w:rsidRPr="00DC3C43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596B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fraction</w:t>
            </w:r>
            <w:proofErr w:type="spellEnd"/>
            <w:r w:rsidRPr="00DC3C43">
              <w:rPr>
                <w:rFonts w:ascii="Arial" w:eastAsia="Times New Roman" w:hAnsi="Arial" w:cs="Arial"/>
                <w:sz w:val="20"/>
                <w:szCs w:val="20"/>
              </w:rPr>
              <w:t xml:space="preserve">= fraction × d 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0AA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B0AAA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fraction</w:t>
            </w:r>
            <w:proofErr w:type="spellEnd"/>
            <w:r w:rsidRPr="004B0AAA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2650EC" w:rsidRPr="004B0AAA" w:rsidTr="00A41E9A">
        <w:trPr>
          <w:trHeight w:val="330"/>
        </w:trPr>
        <w:tc>
          <w:tcPr>
            <w:tcW w:w="5000" w:type="pct"/>
            <w:gridSpan w:val="9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Part 3 Calculate the DCV (</w:t>
            </w:r>
            <w:r w:rsidR="009924EA">
              <w:t>Section E.2.2</w:t>
            </w:r>
            <w:r>
              <w:t>)</w:t>
            </w: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2650EC" w:rsidRPr="00612526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612526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DMA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 area tributary to BMP (s), </w:t>
            </w:r>
            <w:r w:rsidRPr="004B0AAA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 (acres)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(not including any self-retaining areas)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A=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</w:tcPr>
          <w:p w:rsidR="002650EC" w:rsidRPr="004B0AAA" w:rsidRDefault="002650EC" w:rsidP="00A41E9A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acres</w:t>
            </w: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2650EC" w:rsidRPr="00612526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612526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DMA</w:t>
            </w:r>
            <w:r w:rsidRPr="004B0AAA">
              <w:rPr>
                <w:rFonts w:ascii="Arial" w:hAnsi="Arial" w:cs="Arial"/>
                <w:sz w:val="20"/>
                <w:szCs w:val="20"/>
              </w:rPr>
              <w:t xml:space="preserve"> Imperviousness, </w:t>
            </w:r>
            <w:r w:rsidRPr="004B0AAA">
              <w:rPr>
                <w:rFonts w:ascii="Arial" w:hAnsi="Arial" w:cs="Arial"/>
                <w:i/>
                <w:sz w:val="20"/>
                <w:szCs w:val="20"/>
              </w:rPr>
              <w:t>imp</w:t>
            </w:r>
            <w:r w:rsidRPr="004B0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imp=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</w:tcPr>
          <w:p w:rsidR="002650EC" w:rsidRPr="004B0AAA" w:rsidRDefault="002650EC" w:rsidP="00A41E9A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unitless</w:t>
            </w: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2650EC" w:rsidRPr="00612526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612526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Calculate runoff coefficient, </w:t>
            </w:r>
            <w:r w:rsidRPr="004B0AAA">
              <w:rPr>
                <w:rFonts w:ascii="Arial" w:eastAsia="Times New Roman" w:hAnsi="Arial" w:cs="Arial"/>
                <w:i/>
                <w:sz w:val="20"/>
                <w:szCs w:val="20"/>
              </w:rPr>
              <w:t>C= (0.75 x imp) + 0.15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C=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</w:tcPr>
          <w:p w:rsidR="002650EC" w:rsidRPr="004B0AAA" w:rsidRDefault="002650EC" w:rsidP="00A41E9A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unitless</w:t>
            </w:r>
          </w:p>
        </w:tc>
      </w:tr>
      <w:tr w:rsidR="002650EC" w:rsidRPr="004B0AAA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2650EC" w:rsidRPr="00612526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612526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285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 xml:space="preserve">Calculate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the DCV</w:t>
            </w:r>
            <w:r w:rsidRPr="004B0A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= (C x </w:t>
            </w:r>
            <w:proofErr w:type="spellStart"/>
            <w:r w:rsidRPr="004B0AAA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4B0AAA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fraction</w:t>
            </w:r>
            <w:proofErr w:type="spellEnd"/>
            <w:r w:rsidRPr="004B0A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 A x 43560 x (1/12))</w:t>
            </w:r>
          </w:p>
        </w:tc>
        <w:tc>
          <w:tcPr>
            <w:tcW w:w="593" w:type="pct"/>
            <w:gridSpan w:val="2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DCV</w:t>
            </w: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20" w:type="pct"/>
            <w:gridSpan w:val="2"/>
            <w:tcMar>
              <w:top w:w="36" w:type="dxa"/>
              <w:bottom w:w="36" w:type="dxa"/>
            </w:tcMar>
          </w:tcPr>
          <w:p w:rsidR="002650EC" w:rsidRPr="004B0AAA" w:rsidRDefault="002650EC" w:rsidP="00A41E9A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Mar>
              <w:top w:w="36" w:type="dxa"/>
              <w:bottom w:w="36" w:type="dxa"/>
            </w:tcMar>
            <w:vAlign w:val="center"/>
          </w:tcPr>
          <w:p w:rsidR="002650EC" w:rsidRPr="004B0AAA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 w:rsidRPr="004B0AAA"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2650EC" w:rsidRPr="004B0AAA" w:rsidTr="00A41E9A">
        <w:trPr>
          <w:trHeight w:val="330"/>
        </w:trPr>
        <w:tc>
          <w:tcPr>
            <w:tcW w:w="5000" w:type="pct"/>
            <w:gridSpan w:val="9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lastRenderedPageBreak/>
              <w:t>Part 3: Check footprint and drawdown times</w:t>
            </w:r>
          </w:p>
        </w:tc>
      </w:tr>
      <w:tr w:rsidR="002650EC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</w:tcPr>
          <w:p w:rsidR="002650EC" w:rsidRPr="00612526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Footprint required to retain the DCV, DCV/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effective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(A</w:t>
            </w:r>
            <w:r w:rsidRPr="00935ED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measured at the mid ponding depth for systems with side slopes)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650EC" w:rsidRPr="00EF054D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</w:t>
            </w:r>
          </w:p>
        </w:tc>
        <w:tc>
          <w:tcPr>
            <w:tcW w:w="633" w:type="pct"/>
            <w:gridSpan w:val="3"/>
            <w:shd w:val="clear" w:color="auto" w:fill="auto"/>
          </w:tcPr>
          <w:p w:rsidR="002650EC" w:rsidRPr="00596B42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sq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2650EC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</w:tcPr>
          <w:p w:rsidR="002650EC" w:rsidRPr="00612526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2526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1a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2650EC" w:rsidRPr="00EF054D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Infiltrating surface area required to avoid premature clogging (from </w:t>
            </w:r>
            <w:r w:rsidR="009924EA">
              <w:rPr>
                <w:rFonts w:ascii="Arial" w:eastAsia="Times New Roman" w:hAnsi="Arial" w:cs="Arial"/>
                <w:sz w:val="20"/>
                <w:szCs w:val="20"/>
              </w:rPr>
              <w:t>Section E.4.1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), as percent of tributary impervious area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650EC" w:rsidRPr="00EF054D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min,clog</w:t>
            </w:r>
            <w:proofErr w:type="spellEnd"/>
            <w:proofErr w:type="gramEnd"/>
          </w:p>
        </w:tc>
        <w:tc>
          <w:tcPr>
            <w:tcW w:w="633" w:type="pct"/>
            <w:gridSpan w:val="3"/>
            <w:shd w:val="clear" w:color="auto" w:fill="auto"/>
          </w:tcPr>
          <w:p w:rsidR="002650EC" w:rsidRPr="00596B42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2650EC" w:rsidTr="00A41E9A">
        <w:trPr>
          <w:trHeight w:val="330"/>
        </w:trPr>
        <w:tc>
          <w:tcPr>
            <w:tcW w:w="34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</w:tcPr>
          <w:p w:rsidR="002650EC" w:rsidRPr="00612526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11b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Provided infiltrating surface area as a fraction of the tributary impervious surface (included wetted infiltrating area when BMP is half full)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infiltration_surface</w:t>
            </w:r>
            <w:proofErr w:type="spellEnd"/>
          </w:p>
        </w:tc>
        <w:tc>
          <w:tcPr>
            <w:tcW w:w="633" w:type="pct"/>
            <w:gridSpan w:val="3"/>
            <w:shd w:val="clear" w:color="auto" w:fill="auto"/>
          </w:tcPr>
          <w:p w:rsidR="002650EC" w:rsidRPr="00596B42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:rsidR="002650EC" w:rsidRDefault="002650EC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2650EC" w:rsidRPr="004B0AAA" w:rsidTr="00A41E9A">
        <w:trPr>
          <w:trHeight w:val="330"/>
        </w:trPr>
        <w:tc>
          <w:tcPr>
            <w:tcW w:w="5000" w:type="pct"/>
            <w:gridSpan w:val="9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2650EC" w:rsidRPr="004B0AAA" w:rsidRDefault="002650EC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Supporting Calculations</w:t>
            </w:r>
          </w:p>
        </w:tc>
      </w:tr>
      <w:tr w:rsidR="002650EC" w:rsidTr="00A41E9A">
        <w:trPr>
          <w:gridAfter w:val="2"/>
          <w:wAfter w:w="20" w:type="pct"/>
          <w:trHeight w:val="1718"/>
        </w:trPr>
        <w:tc>
          <w:tcPr>
            <w:tcW w:w="4980" w:type="pct"/>
            <w:gridSpan w:val="7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0AAA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38430AE" wp14:editId="514C369C">
                  <wp:extent cx="5371338" cy="3893820"/>
                  <wp:effectExtent l="0" t="0" r="1270" b="0"/>
                  <wp:docPr id="134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680" cy="3903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 supporting graphical operations.</w:t>
            </w:r>
          </w:p>
          <w:p w:rsidR="002650EC" w:rsidRDefault="002650EC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EC"/>
    <w:rsid w:val="002650EC"/>
    <w:rsid w:val="009924EA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FFE6"/>
  <w15:chartTrackingRefBased/>
  <w15:docId w15:val="{DA3E8DE2-9FE8-44D1-B34C-4FDD9C84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0EC"/>
    <w:pPr>
      <w:spacing w:after="240" w:line="276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ubheading">
    <w:name w:val="ExampleSubheading"/>
    <w:basedOn w:val="Normal"/>
    <w:next w:val="Normal"/>
    <w:link w:val="ExampleSubheadingChar"/>
    <w:qFormat/>
    <w:rsid w:val="002650EC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 w:line="280" w:lineRule="exact"/>
      <w:ind w:left="360"/>
    </w:pPr>
    <w:rPr>
      <w:rFonts w:ascii="Arial" w:eastAsia="Times New Roman" w:hAnsi="Arial" w:cs="Arial"/>
      <w:b/>
      <w:i/>
      <w:sz w:val="20"/>
      <w:szCs w:val="20"/>
    </w:rPr>
  </w:style>
  <w:style w:type="character" w:customStyle="1" w:styleId="ExampleSubheadingChar">
    <w:name w:val="ExampleSubheading Char"/>
    <w:basedOn w:val="DefaultParagraphFont"/>
    <w:link w:val="ExampleSubheading"/>
    <w:rsid w:val="002650EC"/>
    <w:rPr>
      <w:rFonts w:ascii="Arial" w:eastAsia="Times New Roman" w:hAnsi="Arial" w:cs="Arial"/>
      <w:b/>
      <w:i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Jack Harvey</cp:lastModifiedBy>
  <cp:revision>2</cp:revision>
  <dcterms:created xsi:type="dcterms:W3CDTF">2017-08-08T22:45:00Z</dcterms:created>
  <dcterms:modified xsi:type="dcterms:W3CDTF">2017-08-08T22:47:00Z</dcterms:modified>
</cp:coreProperties>
</file>