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09"/>
        <w:gridCol w:w="1083"/>
        <w:gridCol w:w="1134"/>
        <w:gridCol w:w="1103"/>
        <w:gridCol w:w="9"/>
      </w:tblGrid>
      <w:tr w:rsidR="000D0A58" w:rsidRPr="004B0AAA" w:rsidTr="00A41E9A">
        <w:trPr>
          <w:gridAfter w:val="1"/>
          <w:wAfter w:w="5" w:type="pct"/>
          <w:trHeight w:val="300"/>
          <w:tblHeader/>
        </w:trPr>
        <w:tc>
          <w:tcPr>
            <w:tcW w:w="49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750D86" w:rsidRDefault="000D0A58" w:rsidP="00A41E9A">
            <w:pPr>
              <w:pStyle w:val="Caption"/>
              <w:rPr>
                <w:i/>
              </w:rPr>
            </w:pPr>
            <w:r w:rsidRPr="00750D86">
              <w:t>Worksheet</w:t>
            </w:r>
            <w:r>
              <w:t xml:space="preserve"> 9</w:t>
            </w:r>
            <w:r w:rsidRPr="00750D86">
              <w:t xml:space="preserve">: </w:t>
            </w:r>
            <w:r>
              <w:t>Flow-Based Compact Biofiltration with Supplemental Retention Method</w:t>
            </w:r>
          </w:p>
        </w:tc>
      </w:tr>
      <w:tr w:rsidR="000D0A5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4B0AAA" w:rsidRDefault="000D0A5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Part</w:t>
            </w:r>
            <w:r w:rsidRPr="004B0AAA">
              <w:t xml:space="preserve"> </w:t>
            </w:r>
            <w:r>
              <w:t>1</w:t>
            </w:r>
            <w:r w:rsidRPr="004B0AAA">
              <w:t xml:space="preserve">: Determine the design </w:t>
            </w:r>
            <w:r>
              <w:t>storm intensity</w:t>
            </w:r>
            <w:r w:rsidRPr="004B0AAA">
              <w:t xml:space="preserve"> </w:t>
            </w:r>
            <w:r>
              <w:t>of the compact biofiltration BMP</w:t>
            </w:r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0D0A58" w:rsidRPr="00612526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252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Enter the time of concentration, T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(min) (See</w:t>
            </w:r>
            <w:r w:rsidR="00657AB5">
              <w:rPr>
                <w:rFonts w:ascii="Arial" w:eastAsia="Times New Roman" w:hAnsi="Arial" w:cs="Arial"/>
                <w:sz w:val="20"/>
                <w:szCs w:val="20"/>
              </w:rPr>
              <w:t xml:space="preserve"> E.2.3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</w:t>
            </w:r>
            <w:r w:rsidRPr="001057D6">
              <w:rPr>
                <w:rFonts w:ascii="Arial" w:eastAsia="Times New Roman" w:hAnsi="Arial" w:cs="Arial"/>
                <w:sz w:val="20"/>
                <w:szCs w:val="20"/>
              </w:rPr>
              <w:t>(account for upstream detention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by increasing Tc to a maximum 6</w:t>
            </w:r>
            <w:r w:rsidRPr="001057D6">
              <w:rPr>
                <w:rFonts w:ascii="Arial" w:eastAsia="Times New Roman" w:hAnsi="Arial" w:cs="Arial"/>
                <w:sz w:val="20"/>
                <w:szCs w:val="20"/>
              </w:rPr>
              <w:t xml:space="preserve">0 minutes per </w:t>
            </w:r>
            <w:r w:rsidR="00657AB5">
              <w:rPr>
                <w:rFonts w:ascii="Arial" w:eastAsia="Times New Roman" w:hAnsi="Arial" w:cs="Arial"/>
                <w:sz w:val="20"/>
                <w:szCs w:val="20"/>
              </w:rPr>
              <w:t>Section E.3.5.2</w:t>
            </w:r>
            <w:r w:rsidRPr="001057D6">
              <w:rPr>
                <w:rFonts w:ascii="Arial" w:eastAsia="Times New Roman" w:hAnsi="Arial" w:cs="Arial"/>
                <w:sz w:val="20"/>
                <w:szCs w:val="20"/>
              </w:rPr>
              <w:t xml:space="preserve"> if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detention is </w:t>
            </w:r>
            <w:r w:rsidRPr="001057D6">
              <w:rPr>
                <w:rFonts w:ascii="Arial" w:eastAsia="Times New Roman" w:hAnsi="Arial" w:cs="Arial"/>
                <w:sz w:val="20"/>
                <w:szCs w:val="20"/>
              </w:rPr>
              <w:t>provided)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</w:t>
            </w:r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0D0A58" w:rsidRPr="00612526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252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Using</w:t>
            </w:r>
            <w:r w:rsidR="00657AB5">
              <w:rPr>
                <w:rFonts w:ascii="Arial" w:eastAsia="Times New Roman" w:hAnsi="Arial" w:cs="Arial"/>
                <w:sz w:val="20"/>
                <w:szCs w:val="20"/>
              </w:rPr>
              <w:t xml:space="preserve"> Figure E-7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the figure included in the worksheet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, determine the design intensity at which the estimated time of concentration (T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) achieves 80% capture efficiency,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612526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Enter capture efficiency corresponding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upstream HSCs and/or upstream BMPs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6F646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EF262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Attach associated calculations. 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6468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EF262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612526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6F6468" w:rsidRDefault="000D0A58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Using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7AB5">
              <w:rPr>
                <w:rFonts w:ascii="Arial" w:eastAsia="Times New Roman" w:hAnsi="Arial" w:cs="Arial"/>
                <w:sz w:val="20"/>
                <w:szCs w:val="20"/>
              </w:rPr>
              <w:t>Figure E-7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, determine the design intensity at which the time of concentration (T</w:t>
            </w:r>
            <w:r w:rsidRPr="00F629A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) achieves the upstream capture efficiency(Y</w:t>
            </w:r>
            <w:r w:rsidRPr="00F629A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), </w:t>
            </w:r>
            <w:r w:rsidRPr="006F6468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F629A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612526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F6468">
              <w:rPr>
                <w:rFonts w:ascii="Arial" w:eastAsia="Times New Roman" w:hAnsi="Arial" w:cs="Arial"/>
                <w:sz w:val="20"/>
                <w:szCs w:val="20"/>
              </w:rPr>
              <w:t xml:space="preserve">Determine the design intensity 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that must be provided by 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achieve 80 percent capture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F629A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design</w:t>
            </w:r>
            <w:proofErr w:type="spellEnd"/>
            <w:r w:rsidRPr="006F6468">
              <w:rPr>
                <w:rFonts w:ascii="Arial" w:eastAsia="Times New Roman" w:hAnsi="Arial" w:cs="Arial"/>
                <w:sz w:val="20"/>
                <w:szCs w:val="20"/>
              </w:rPr>
              <w:t>= I</w:t>
            </w:r>
            <w:r w:rsidRPr="00F629A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6F6468">
              <w:rPr>
                <w:rFonts w:ascii="Arial" w:eastAsia="Times New Roman" w:hAnsi="Arial" w:cs="Arial"/>
                <w:sz w:val="20"/>
                <w:szCs w:val="20"/>
              </w:rPr>
              <w:t>-I</w:t>
            </w:r>
            <w:r w:rsidRPr="00F629A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design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_80%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0D0A5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Part</w:t>
            </w:r>
            <w:r w:rsidRPr="00043B81">
              <w:t xml:space="preserve"> 2: Calculate the design flowrate</w:t>
            </w:r>
            <w:r>
              <w:t xml:space="preserve"> of the compact biofiltration BMP (</w:t>
            </w:r>
            <w:r w:rsidR="00657AB5">
              <w:t>Section E.2.6</w:t>
            </w:r>
            <w:r>
              <w:t>)</w:t>
            </w:r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6a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DMA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area tributary to BMP (s),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</w:tcPr>
          <w:p w:rsidR="000D0A58" w:rsidRPr="00043B81" w:rsidRDefault="000D0A5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0D0A58" w:rsidRPr="006F6468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6b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DMA</w:t>
            </w:r>
            <w:r w:rsidRPr="006F6468">
              <w:rPr>
                <w:rFonts w:ascii="Arial" w:eastAsia="Times New Roman" w:hAnsi="Arial" w:cs="Arial"/>
                <w:sz w:val="20"/>
                <w:szCs w:val="20"/>
              </w:rPr>
              <w:t xml:space="preserve"> Imperviousness, imp (unitless) 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</w:tcPr>
          <w:p w:rsidR="000D0A58" w:rsidRPr="00043B81" w:rsidRDefault="000D0A5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6c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= (0.75 x imp) + 0.15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</w:tcPr>
          <w:p w:rsidR="000D0A58" w:rsidRPr="00043B81" w:rsidRDefault="000D0A5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6d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Calculate flowrate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achieve 80 percent capture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Q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80%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A)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80%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</w:tcPr>
          <w:p w:rsidR="000D0A58" w:rsidRPr="00043B81" w:rsidRDefault="000D0A5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cfs</w:t>
            </w:r>
            <w:proofErr w:type="spellEnd"/>
          </w:p>
        </w:tc>
      </w:tr>
      <w:tr w:rsidR="000D0A58" w:rsidRPr="004B0AAA" w:rsidTr="00A41E9A">
        <w:trPr>
          <w:gridAfter w:val="1"/>
          <w:wAfter w:w="5" w:type="pct"/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64" w:type="pct"/>
            <w:shd w:val="clear" w:color="auto" w:fill="auto"/>
            <w:tcMar>
              <w:top w:w="36" w:type="dxa"/>
              <w:bottom w:w="36" w:type="dxa"/>
            </w:tcMar>
            <w:vAlign w:val="center"/>
          </w:tcPr>
          <w:p w:rsidR="000D0A58" w:rsidRPr="006F646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Calculate design flowrate, </w:t>
            </w:r>
            <w:proofErr w:type="spellStart"/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Q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= Q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80%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150%</w:t>
            </w:r>
          </w:p>
        </w:tc>
        <w:tc>
          <w:tcPr>
            <w:tcW w:w="584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design</w:t>
            </w:r>
            <w:proofErr w:type="spellEnd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612" w:type="pct"/>
            <w:tcMar>
              <w:top w:w="36" w:type="dxa"/>
              <w:bottom w:w="36" w:type="dxa"/>
            </w:tcMar>
          </w:tcPr>
          <w:p w:rsidR="000D0A58" w:rsidRPr="00043B81" w:rsidRDefault="000D0A5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0D0A58" w:rsidRPr="00043B81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cfs</w:t>
            </w:r>
            <w:proofErr w:type="spellEnd"/>
          </w:p>
        </w:tc>
      </w:tr>
      <w:tr w:rsidR="000D0A5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</w:tcPr>
          <w:p w:rsidR="000D0A58" w:rsidRDefault="000D0A5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</w:pPr>
            <w:r>
              <w:t>Part 3</w:t>
            </w:r>
            <w:r w:rsidRPr="00043B81">
              <w:t xml:space="preserve">: </w:t>
            </w:r>
            <w:r>
              <w:t>Demonstrate that Supplemental Retention BMPs Conform to Volume Reduction Targets (Only DMAs Categorized as “Biotreatment with Partial Infiltration”)</w:t>
            </w:r>
          </w:p>
        </w:tc>
      </w:tr>
      <w:tr w:rsidR="000D0A58" w:rsidRPr="004B0AAA" w:rsidTr="00A41E9A">
        <w:trPr>
          <w:trHeight w:val="1313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</w:tcPr>
          <w:p w:rsidR="000D0A58" w:rsidRPr="00A95BE0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660" w:type="pct"/>
            <w:gridSpan w:val="5"/>
            <w:shd w:val="clear" w:color="auto" w:fill="auto"/>
          </w:tcPr>
          <w:p w:rsidR="000D0A58" w:rsidRPr="00A95BE0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Describe system, including features to maximize volume reduction (if applicable):</w:t>
            </w:r>
          </w:p>
        </w:tc>
      </w:tr>
      <w:tr w:rsidR="000D0A58" w:rsidRPr="004B0AAA" w:rsidTr="00A41E9A">
        <w:trPr>
          <w:trHeight w:val="330"/>
        </w:trPr>
        <w:tc>
          <w:tcPr>
            <w:tcW w:w="340" w:type="pct"/>
            <w:shd w:val="clear" w:color="auto" w:fill="auto"/>
            <w:noWrap/>
            <w:tcMar>
              <w:top w:w="36" w:type="dxa"/>
              <w:bottom w:w="36" w:type="dxa"/>
            </w:tcMar>
          </w:tcPr>
          <w:p w:rsidR="000D0A58" w:rsidRDefault="000D0A5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4660" w:type="pct"/>
            <w:gridSpan w:val="5"/>
            <w:shd w:val="clear" w:color="auto" w:fill="auto"/>
          </w:tcPr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Summarize calculations to demonstrate that volume reduction targets are met, where feasible and applicable. </w:t>
            </w: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0A58" w:rsidRPr="00A95BE0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0A5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4B0AAA" w:rsidRDefault="000D0A5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lastRenderedPageBreak/>
              <w:t>Supporting Calculations</w:t>
            </w:r>
          </w:p>
        </w:tc>
      </w:tr>
      <w:tr w:rsidR="000D0A58" w:rsidRPr="004B0AAA" w:rsidTr="00A41E9A">
        <w:trPr>
          <w:gridAfter w:val="1"/>
          <w:wAfter w:w="5" w:type="pct"/>
          <w:trHeight w:val="1718"/>
        </w:trPr>
        <w:tc>
          <w:tcPr>
            <w:tcW w:w="4995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0D0A58" w:rsidRPr="004B0AAA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time of concentration assumptions:</w:t>
            </w:r>
          </w:p>
        </w:tc>
      </w:tr>
      <w:tr w:rsidR="000D0A5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0D0A58" w:rsidRPr="004B0AAA" w:rsidRDefault="000D0A5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 w:rsidRPr="001A75FD">
              <w:t>Graphical Operations</w:t>
            </w:r>
          </w:p>
        </w:tc>
      </w:tr>
      <w:tr w:rsidR="000D0A58" w:rsidRPr="004B0AAA" w:rsidTr="00A41E9A">
        <w:trPr>
          <w:gridAfter w:val="1"/>
          <w:wAfter w:w="5" w:type="pct"/>
          <w:trHeight w:val="1718"/>
        </w:trPr>
        <w:tc>
          <w:tcPr>
            <w:tcW w:w="4995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5FD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69C94AF" wp14:editId="4000A032">
                  <wp:extent cx="5455920" cy="3766788"/>
                  <wp:effectExtent l="0" t="0" r="0" b="5715"/>
                  <wp:docPr id="5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912" cy="377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Provide supporting graphical operations in figure above. </w:t>
            </w:r>
          </w:p>
          <w:p w:rsidR="000D0A58" w:rsidRDefault="000D0A5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D0A58" w:rsidRDefault="000D0A58" w:rsidP="000D0A58"/>
    <w:p w:rsidR="00B40158" w:rsidRDefault="00B40158">
      <w:bookmarkStart w:id="0" w:name="_GoBack"/>
      <w:bookmarkEnd w:id="0"/>
    </w:p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58"/>
    <w:rsid w:val="000D0A58"/>
    <w:rsid w:val="00657AB5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2BE9"/>
  <w15:chartTrackingRefBased/>
  <w15:docId w15:val="{13BDCFCA-1029-4BC8-B8C0-1C220E40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A58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0D0A58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0D0A58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0D0A58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0D0A58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2017-08-08T22:50:00Z</dcterms:created>
  <dcterms:modified xsi:type="dcterms:W3CDTF">2017-08-08T22:51:00Z</dcterms:modified>
</cp:coreProperties>
</file>